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Helvetica Neue" w:cs="Helvetica Neue" w:eastAsia="Helvetica Neue" w:hAnsi="Helvetica Neue"/>
          <w:b w:val="1"/>
          <w:color w:val="cc6633"/>
          <w:sz w:val="26"/>
          <w:szCs w:val="26"/>
        </w:rPr>
      </w:pPr>
      <w:bookmarkStart w:colFirst="0" w:colLast="0" w:name="_gjdgxs" w:id="0"/>
      <w:bookmarkEnd w:id="0"/>
      <w:r w:rsidDel="00000000" w:rsidR="00000000" w:rsidRPr="00000000">
        <w:rPr>
          <w:rFonts w:ascii="Helvetica Neue" w:cs="Helvetica Neue" w:eastAsia="Helvetica Neue" w:hAnsi="Helvetica Neue"/>
          <w:b w:val="1"/>
          <w:color w:val="cc6633"/>
          <w:sz w:val="26"/>
          <w:szCs w:val="26"/>
          <w:rtl w:val="0"/>
        </w:rPr>
        <w:t xml:space="preserve">Envisioning Your Creative Aging Program Worksheet for Teaching Artists</w:t>
      </w:r>
    </w:p>
    <w:p w:rsidR="00000000" w:rsidDel="00000000" w:rsidP="00000000" w:rsidRDefault="00000000" w:rsidRPr="00000000" w14:paraId="00000002">
      <w:pPr>
        <w:spacing w:after="0" w:line="276"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rtl w:val="0"/>
        </w:rPr>
        <w:t xml:space="preserve">This worksheet is designed to help organize your thoughts around adapting a program you currently teach to include creative aging best practices.  Keep in mind that the key goals are</w:t>
      </w:r>
      <w:r w:rsidDel="00000000" w:rsidR="00000000" w:rsidRPr="00000000">
        <w:rPr>
          <w:rFonts w:ascii="Helvetica Neue" w:cs="Helvetica Neue" w:eastAsia="Helvetica Neue" w:hAnsi="Helvetica Neue"/>
          <w:b w:val="1"/>
          <w:rtl w:val="0"/>
        </w:rPr>
        <w:t xml:space="preserve"> building artistic skills</w:t>
      </w:r>
      <w:r w:rsidDel="00000000" w:rsidR="00000000" w:rsidRPr="00000000">
        <w:rPr>
          <w:rFonts w:ascii="Helvetica Neue" w:cs="Helvetica Neue" w:eastAsia="Helvetica Neue" w:hAnsi="Helvetica Neue"/>
          <w:rtl w:val="0"/>
        </w:rPr>
        <w:t xml:space="preserve">, and creating opportunities for </w:t>
      </w:r>
      <w:r w:rsidDel="00000000" w:rsidR="00000000" w:rsidRPr="00000000">
        <w:rPr>
          <w:rFonts w:ascii="Helvetica Neue" w:cs="Helvetica Neue" w:eastAsia="Helvetica Neue" w:hAnsi="Helvetica Neue"/>
          <w:b w:val="1"/>
          <w:rtl w:val="0"/>
        </w:rPr>
        <w:t xml:space="preserve">intentional social engagement</w:t>
      </w:r>
      <w:r w:rsidDel="00000000" w:rsidR="00000000" w:rsidRPr="00000000">
        <w:rPr>
          <w:rFonts w:ascii="Helvetica Neue" w:cs="Helvetica Neue" w:eastAsia="Helvetica Neue" w:hAnsi="Helvetica Neue"/>
          <w:rtl w:val="0"/>
        </w:rPr>
        <w:t xml:space="preserve">.  Programs should also be responsive, and may need to be adapted to fit the needs and capacity of the communities you work with.  While we will use the insights you gain here as a jumping off point for group discussion in the training, the worksheets themselves</w:t>
      </w:r>
      <w:r w:rsidDel="00000000" w:rsidR="00000000" w:rsidRPr="00000000">
        <w:rPr>
          <w:rFonts w:ascii="Helvetica Neue" w:cs="Helvetica Neue" w:eastAsia="Helvetica Neue" w:hAnsi="Helvetica Neue"/>
          <w:rtl w:val="0"/>
        </w:rPr>
        <w:t xml:space="preserve"> will not be shared or reviewed.</w:t>
      </w:r>
      <w:r w:rsidDel="00000000" w:rsidR="00000000" w:rsidRPr="00000000">
        <w:rPr>
          <w:rFonts w:ascii="Helvetica Neue" w:cs="Helvetica Neue" w:eastAsia="Helvetica Neue" w:hAnsi="Helvetica Neue"/>
          <w:rtl w:val="0"/>
        </w:rPr>
        <w:br w:type="textWrapping"/>
      </w:r>
      <w:r w:rsidDel="00000000" w:rsidR="00000000" w:rsidRPr="00000000">
        <w:rPr>
          <w:rtl w:val="0"/>
        </w:rPr>
      </w:r>
    </w:p>
    <w:p w:rsidR="00000000" w:rsidDel="00000000" w:rsidP="00000000" w:rsidRDefault="00000000" w:rsidRPr="00000000" w14:paraId="00000003">
      <w:pPr>
        <w:numPr>
          <w:ilvl w:val="0"/>
          <w:numId w:val="1"/>
        </w:numPr>
        <w:tabs>
          <w:tab w:val="left" w:leader="none" w:pos="5760"/>
          <w:tab w:val="left" w:leader="none" w:pos="10080"/>
        </w:tabs>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mission/spark: What draws you to work in creative aging?  What do you believe is your greatest asset/strength to bring to this work?</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C">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numPr>
          <w:ilvl w:val="0"/>
          <w:numId w:val="1"/>
        </w:numPr>
        <w:tabs>
          <w:tab w:val="left" w:leader="none" w:pos="5760"/>
          <w:tab w:val="left" w:leader="none" w:pos="10080"/>
        </w:tabs>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your biggest concern about teaching creative aging programs?</w:t>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5">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pageBreakBefore w:val="0"/>
        <w:numPr>
          <w:ilvl w:val="0"/>
          <w:numId w:val="1"/>
        </w:numPr>
        <w:tabs>
          <w:tab w:val="left" w:leader="none" w:pos="5760"/>
          <w:tab w:val="left" w:leader="none" w:pos="10080"/>
        </w:tabs>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List all art forms you teach.</w:t>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E">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the age groups and settings you typically work with.</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might you adapt a program you already teach to younger students - or a different population of learners - to better serve older adults?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want older adults to learn in this class? This can include specific skills, techniques, fluency in terminology and concepts.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some methods/activities within your art form(s) that could enable social engagement between older adult participants?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some ideas for the culminating event for this program?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57">
      <w:pPr>
        <w:tabs>
          <w:tab w:val="left" w:leader="none" w:pos="5760"/>
          <w:tab w:val="left" w:leader="none" w:pos="1008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tabs>
          <w:tab w:val="left" w:leader="none" w:pos="10080"/>
        </w:tabs>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tl w:val="0"/>
        </w:rPr>
      </w:r>
    </w:p>
    <w:p w:rsidR="00000000" w:rsidDel="00000000" w:rsidP="00000000" w:rsidRDefault="00000000" w:rsidRPr="00000000" w14:paraId="00000059">
      <w:pPr>
        <w:pageBreakBefore w:val="0"/>
        <w:spacing w:after="0" w:before="240" w:line="240" w:lineRule="auto"/>
        <w:rPr>
          <w:rFonts w:ascii="Helvetica Neue" w:cs="Helvetica Neue" w:eastAsia="Helvetica Neue" w:hAnsi="Helvetica Neu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spacing w:after="0" w:line="240" w:lineRule="auto"/>
      <w:rPr>
        <w:color w:val="000000"/>
      </w:rPr>
    </w:pPr>
    <w:r w:rsidDel="00000000" w:rsidR="00000000" w:rsidRPr="00000000">
      <w:rPr>
        <w:rFonts w:ascii="Arial" w:cs="Arial" w:eastAsia="Arial" w:hAnsi="Arial"/>
        <w:sz w:val="20"/>
        <w:szCs w:val="20"/>
        <w:rtl w:val="0"/>
      </w:rPr>
      <w:t xml:space="preserve">© 2020 Lifetime Arts, Inc.</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sz w:val="20"/>
        <w:szCs w:val="20"/>
        <w:rtl w:val="0"/>
      </w:rPr>
      <w:t xml:space="preserve">© 2024 Lifetime Arts, Inc.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after="0" w:line="240" w:lineRule="auto"/>
      <w:jc w:val="right"/>
      <w:rPr>
        <w:color w:val="000000"/>
      </w:rPr>
    </w:pPr>
    <w:r w:rsidDel="00000000" w:rsidR="00000000" w:rsidRPr="00000000">
      <w:rPr>
        <w:rFonts w:ascii="Arial" w:cs="Arial" w:eastAsia="Arial" w:hAnsi="Arial"/>
        <w:b w:val="1"/>
        <w:sz w:val="28"/>
        <w:szCs w:val="28"/>
      </w:rPr>
      <w:drawing>
        <wp:inline distB="114300" distT="114300" distL="114300" distR="114300">
          <wp:extent cx="1578163" cy="6334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8163" cy="6334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tabs>
        <w:tab w:val="center" w:leader="none" w:pos="4680"/>
        <w:tab w:val="right" w:leader="none" w:pos="10800"/>
      </w:tabs>
      <w:spacing w:after="0"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Pr>
      <w:drawing>
        <wp:anchor allowOverlap="1" behindDoc="0" distB="57150" distT="57150" distL="57150" distR="57150" hidden="0" layoutInCell="1" locked="0" relativeHeight="0" simplePos="0">
          <wp:simplePos x="0" y="0"/>
          <wp:positionH relativeFrom="margin">
            <wp:posOffset>4757738</wp:posOffset>
          </wp:positionH>
          <wp:positionV relativeFrom="margin">
            <wp:posOffset>-576070</wp:posOffset>
          </wp:positionV>
          <wp:extent cx="1918525" cy="770914"/>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18525" cy="77091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